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8858250" cy="121856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tbl>
      <w:tblPr>
        <w:tblW w:w="1457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56"/>
        <w:gridCol w:w="4857"/>
        <w:gridCol w:w="4857"/>
      </w:tblGrid>
      <w:tr>
        <w:trPr/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before="0" w:after="227"/>
              <w:jc w:val="left"/>
              <w:rPr>
                <w:rFonts w:ascii="Marianne" w:hAnsi="Marianne"/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</w:rPr>
              <w:t>Constat que la filière existe, avec des projets réalisés en bois local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before="0" w:after="227"/>
              <w:jc w:val="left"/>
              <w:rPr>
                <w:rFonts w:ascii="Marianne" w:hAnsi="Marianne"/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</w:rPr>
              <w:t>La marque Bois des Pyrénées est identifiée pour le bois local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before="0" w:after="227"/>
              <w:jc w:val="left"/>
              <w:rPr>
                <w:rFonts w:ascii="Marianne" w:hAnsi="Marianne"/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</w:rPr>
              <w:t>C’est plus facile dans le secteur public que dans le privé (économiquement et en terme d’accompagnements)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before="0" w:after="227"/>
              <w:jc w:val="left"/>
              <w:rPr>
                <w:rFonts w:ascii="Marianne" w:hAnsi="Marianne"/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</w:rPr>
              <w:t>Pour ce qui est des aménagements extérieurs, les catalogues remportent la mise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before="0" w:after="227"/>
              <w:jc w:val="left"/>
              <w:rPr>
                <w:rFonts w:ascii="Marianne" w:hAnsi="Marianne"/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</w:rPr>
              <w:t>La demande en feuillu est présente mais il manque la transformation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before="0" w:after="227"/>
              <w:jc w:val="left"/>
              <w:rPr>
                <w:rFonts w:ascii="Marianne" w:hAnsi="Marianne"/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</w:rPr>
              <w:t>Difficulté de réaliser des menuiseries en bois local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before="0" w:after="227"/>
              <w:jc w:val="left"/>
              <w:rPr>
                <w:rFonts w:ascii="Marianne" w:hAnsi="Marianne"/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</w:rPr>
              <w:t>Le département est petit pour accueillir des industries spécialisées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before="0" w:after="227"/>
              <w:jc w:val="left"/>
              <w:rPr>
                <w:rFonts w:ascii="Marianne" w:hAnsi="Marianne"/>
                <w:b w:val="false"/>
                <w:b w:val="false"/>
                <w:bCs w:val="false"/>
              </w:rPr>
            </w:pPr>
            <w:r>
              <w:rPr>
                <w:rFonts w:ascii="Marianne" w:hAnsi="Marianne"/>
                <w:b w:val="false"/>
                <w:bCs w:val="false"/>
              </w:rPr>
              <w:t>La RE 2020 perçue comme levier positif pour plus de construction bois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En structurant les acteurs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En valorisant mieux le bois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En concevant des projets qui tiennent compte de la ressource présente sur le territoire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En sortant des standards (douglas)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En changeant les mentalités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En associant le bois à d’autres matériaux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Des projets pilotes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L’anticipation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Informer les élus sur les potentiels du bois local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L’accompagnement et la prescription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Mieux faire connaître le bois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Des incitations financières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Une communication efficace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Rompre les a priori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Inviter à utiliser plus de bois dans les documents stratégiques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before="0" w:after="227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Sensibiliser davantage (aspects techniques)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numbering" w:styleId="Puce">
    <w:name w:val="Puce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2</Pages>
  <Words>200</Words>
  <Characters>1009</Characters>
  <CharactersWithSpaces>1161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2023-09-27T17:44:33Z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